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jc w:val="center"/>
        <w:rPr>
          <w:rFonts w:hint="eastAsia" w:eastAsia="宋体"/>
          <w:sz w:val="30"/>
          <w:lang w:eastAsia="zh-CN"/>
        </w:rPr>
      </w:pPr>
      <w:r>
        <w:rPr>
          <w:rFonts w:hint="eastAsia" w:eastAsia="宋体"/>
          <w:sz w:val="30"/>
          <w:lang w:eastAsia="zh-CN"/>
        </w:rPr>
        <w:drawing>
          <wp:anchor distT="0" distB="0" distL="114300" distR="114300" simplePos="0" relativeHeight="251662336" behindDoc="0" locked="0" layoutInCell="1" allowOverlap="1">
            <wp:simplePos x="0" y="0"/>
            <wp:positionH relativeFrom="column">
              <wp:posOffset>1113155</wp:posOffset>
            </wp:positionH>
            <wp:positionV relativeFrom="paragraph">
              <wp:posOffset>518160</wp:posOffset>
            </wp:positionV>
            <wp:extent cx="3025140" cy="2161540"/>
            <wp:effectExtent l="0" t="0" r="10160" b="10160"/>
            <wp:wrapTopAndBottom/>
            <wp:docPr id="2" name="图片 2" descr="四度冰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四度冰盒"/>
                    <pic:cNvPicPr>
                      <a:picLocks noChangeAspect="1"/>
                    </pic:cNvPicPr>
                  </pic:nvPicPr>
                  <pic:blipFill>
                    <a:blip r:embed="rId6"/>
                    <a:srcRect t="15953" b="12594"/>
                    <a:stretch>
                      <a:fillRect/>
                    </a:stretch>
                  </pic:blipFill>
                  <pic:spPr>
                    <a:xfrm>
                      <a:off x="0" y="0"/>
                      <a:ext cx="3025140" cy="2161540"/>
                    </a:xfrm>
                    <a:prstGeom prst="rect">
                      <a:avLst/>
                    </a:prstGeom>
                  </pic:spPr>
                </pic:pic>
              </a:graphicData>
            </a:graphic>
          </wp:anchor>
        </w:drawing>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0" locked="0" layoutInCell="1" allowOverlap="1">
                <wp:simplePos x="0" y="0"/>
                <wp:positionH relativeFrom="column">
                  <wp:posOffset>1866900</wp:posOffset>
                </wp:positionH>
                <wp:positionV relativeFrom="paragraph">
                  <wp:posOffset>2430145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lang w:val="en-US"/>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HICE-4 4度电子冰盒</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7pt;margin-top:191.35pt;height:144pt;width:144pt;mso-wrap-distance-bottom:0pt;mso-wrap-distance-top:0pt;mso-wrap-style:none;z-index:251661312;mso-width-relative:page;mso-height-relative:page;" filled="f" stroked="f" coordsize="21600,21600" o:gfxdata="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y3DIM2wAAAAsBAAAPAAAAAAAAAAEAIAAAACIAAABkcnMvZG93&#10;bnJldi54bWxQSwECFAAUAAAACACHTuJAIn0vtjYCAABlBAAADgAAAAAAAAABACAAAAAqAQAAZHJz&#10;L2Uyb0RvYy54bWxQSwUGAAAAAAYABgBZAQAA0gU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lang w:val="en-US"/>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HICE-4 4度电子冰盒</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942975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74.25pt;height:0.3pt;width:415.15pt;z-index:-251656192;mso-width-relative:page;mso-height-relative:page;" filled="f" stroked="t" coordsize="21600,21600" o:gfxdata="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iA6tD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本仪器是采用微电脑控制和半导体制冷技术制造的一款恒温产品，开机后一键式启动4℃恒温功能，也可手动设定或调节温度，可对样本进行加热、制冷、恒温，可广泛应用于低温实验试剂或实验样品在实验操作过程中的短期保存。该仪器可替代实验室内制冰机，冰盒，冰袋等，减少污染，干净卫生。是分子生物学实验室常备通用实验仪器。</w:t>
      </w:r>
    </w:p>
    <w:p>
      <w:pPr>
        <w:adjustRightInd w:val="0"/>
        <w:spacing w:line="360" w:lineRule="auto"/>
        <w:rPr>
          <w:rFonts w:hint="eastAsia" w:ascii="宋体" w:hAnsi="宋体" w:eastAsia="宋体" w:cs="宋体"/>
          <w:color w:val="2F5597" w:themeColor="accent1" w:themeShade="BF"/>
          <w:kern w:val="2"/>
          <w:sz w:val="24"/>
          <w:szCs w:val="24"/>
          <w:lang w:val="en-US" w:eastAsia="zh-CN" w:bidi="ar-SA"/>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21"/>
        <w:numPr>
          <w:ilvl w:val="0"/>
          <w:numId w:val="1"/>
        </w:numPr>
        <w:adjustRightInd w:val="0"/>
        <w:spacing w:line="360" w:lineRule="auto"/>
        <w:ind w:left="0" w:firstLine="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操作简单方便，超大的显示屏使数据一目了然；</w:t>
      </w:r>
    </w:p>
    <w:p>
      <w:pPr>
        <w:spacing w:beforeLines="0" w:afterLines="0" w:line="360" w:lineRule="auto"/>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2. 4.3寸TFT电容屏显示，人机友好的触摸式操作界面；</w:t>
      </w:r>
    </w:p>
    <w:p>
      <w:pPr>
        <w:pStyle w:val="21"/>
        <w:numPr>
          <w:ilvl w:val="0"/>
          <w:numId w:val="0"/>
        </w:numPr>
        <w:adjustRightInd w:val="0"/>
        <w:spacing w:line="360" w:lineRule="auto"/>
        <w:ind w:left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 所有图标均采有动态显示，更加的人性化；</w:t>
      </w:r>
    </w:p>
    <w:p>
      <w:pPr>
        <w:pStyle w:val="21"/>
        <w:numPr>
          <w:ilvl w:val="0"/>
          <w:numId w:val="0"/>
        </w:numPr>
        <w:adjustRightInd w:val="0"/>
        <w:spacing w:line="360" w:lineRule="auto"/>
        <w:ind w:left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4. 自动故障检测及蜂鸣器报警功能，温度偏差校准功能;</w:t>
      </w:r>
    </w:p>
    <w:p>
      <w:pPr>
        <w:spacing w:beforeLines="0" w:afterLines="0" w:line="360" w:lineRule="auto"/>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5. 透明保温盖采用耐高温PC环保材质，一体化设计防止丢失，内置超温保护装置,多重安全保护功能，符合CE 安全标准，安全可靠;</w:t>
      </w:r>
    </w:p>
    <w:p>
      <w:pPr>
        <w:spacing w:beforeLines="0" w:afterLines="0" w:line="360" w:lineRule="auto"/>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6. 可选配USB或上位机通讯功能。</w:t>
      </w:r>
    </w:p>
    <w:p>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3、</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2907"/>
        <w:gridCol w:w="561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5615"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HICE-4</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5615"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fldChar w:fldCharType="begin"/>
            </w:r>
            <w:r>
              <w:rPr>
                <w:rStyle w:val="15"/>
                <w:rFonts w:hint="eastAsia" w:ascii="宋体" w:hAnsi="宋体" w:cs="宋体"/>
                <w:b w:val="0"/>
                <w:bCs w:val="0"/>
                <w:color w:val="2F5597" w:themeColor="accent1" w:themeShade="BF"/>
                <w:kern w:val="0"/>
                <w:sz w:val="24"/>
                <w:szCs w:val="24"/>
                <w:shd w:val="clear" w:color="auto" w:fill="FFFFFF"/>
                <w:lang w:bidi="ar"/>
              </w:rPr>
              <w:instrText xml:space="preserve"> HYPERLINK "javascript:void(0)" </w:instrText>
            </w:r>
            <w:r>
              <w:rPr>
                <w:rStyle w:val="15"/>
                <w:rFonts w:hint="eastAsia" w:ascii="宋体" w:hAnsi="宋体" w:cs="宋体"/>
                <w:b w:val="0"/>
                <w:bCs w:val="0"/>
                <w:color w:val="2F5597" w:themeColor="accent1" w:themeShade="BF"/>
                <w:kern w:val="0"/>
                <w:sz w:val="24"/>
                <w:szCs w:val="24"/>
                <w:shd w:val="clear" w:color="auto" w:fill="FFFFFF"/>
                <w:lang w:bidi="ar"/>
              </w:rPr>
              <w:fldChar w:fldCharType="separate"/>
            </w:r>
            <w:r>
              <w:rPr>
                <w:rStyle w:val="15"/>
                <w:rFonts w:hint="eastAsia" w:ascii="宋体" w:hAnsi="宋体" w:cs="宋体"/>
                <w:b w:val="0"/>
                <w:bCs w:val="0"/>
                <w:color w:val="2F5597" w:themeColor="accent1" w:themeShade="BF"/>
                <w:kern w:val="0"/>
                <w:sz w:val="24"/>
                <w:szCs w:val="24"/>
                <w:shd w:val="clear" w:color="auto" w:fill="FFFFFF"/>
                <w:lang w:bidi="ar"/>
              </w:rPr>
              <w:t>1006014001</w:t>
            </w:r>
            <w:r>
              <w:rPr>
                <w:rStyle w:val="15"/>
                <w:rFonts w:hint="eastAsia" w:ascii="宋体" w:hAnsi="宋体" w:cs="宋体"/>
                <w:b w:val="0"/>
                <w:bCs w:val="0"/>
                <w:color w:val="2F5597" w:themeColor="accent1" w:themeShade="BF"/>
                <w:kern w:val="0"/>
                <w:sz w:val="24"/>
                <w:szCs w:val="24"/>
                <w:shd w:val="clear" w:color="auto" w:fill="FFFFFF"/>
                <w:lang w:bidi="ar"/>
              </w:rPr>
              <w:fldChar w:fldCharType="end"/>
            </w:r>
            <w:bookmarkStart w:id="0" w:name="_GoBack"/>
            <w:bookmarkEnd w:id="0"/>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温度设置范围</w:t>
            </w:r>
          </w:p>
        </w:tc>
        <w:tc>
          <w:tcPr>
            <w:tcW w:w="5615"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 ~10</w:t>
            </w:r>
            <w:r>
              <w:rPr>
                <w:rStyle w:val="15"/>
                <w:rFonts w:hint="eastAsia" w:ascii="宋体" w:hAnsi="宋体" w:cs="宋体"/>
                <w:b w:val="0"/>
                <w:bCs w:val="0"/>
                <w:color w:val="2F5597" w:themeColor="accent1" w:themeShade="BF"/>
                <w:kern w:val="0"/>
                <w:sz w:val="24"/>
                <w:szCs w:val="24"/>
                <w:shd w:val="clear" w:color="auto" w:fill="FFFFFF"/>
                <w:lang w:val="en-US" w:eastAsia="zh-CN" w:bidi="ar"/>
              </w:rPr>
              <w:t>0</w:t>
            </w:r>
            <w:r>
              <w:rPr>
                <w:rStyle w:val="15"/>
                <w:rFonts w:hint="eastAsia" w:ascii="宋体" w:hAnsi="宋体" w:cs="宋体"/>
                <w:b w:val="0"/>
                <w:bCs w:val="0"/>
                <w:color w:val="2F5597" w:themeColor="accent1" w:themeShade="BF"/>
                <w:kern w:val="0"/>
                <w:sz w:val="24"/>
                <w:szCs w:val="24"/>
                <w:shd w:val="clear" w:color="auto" w:fill="FFFFFF"/>
                <w:lang w:bidi="ar"/>
              </w:rPr>
              <w:t xml:space="preserve"> ℃</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5615"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4.3寸高清晰电容屏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5615"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全屏TFT触摸式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一键式4℃恒温功能</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工作或故障报警提示功能</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温度校对功能</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温度动态显示功能</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电脑或上位机控制</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 USB接口</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电源输入</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100-240V/50-60Hz～1.0A</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控温精度</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 0.5 ℃</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显示精度</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 ℃</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模块温度均匀性</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 0.3 ℃</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升温时间</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≤15分钟（20℃至100℃）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降温时间</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≤10分钟 （室温25℃降至4℃）</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标配离心管模块</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35*2.0ml</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94"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可选配离心管模块</w:t>
            </w:r>
          </w:p>
        </w:tc>
        <w:tc>
          <w:tcPr>
            <w:tcW w:w="5615" w:type="dxa"/>
            <w:tcBorders>
              <w:tl2br w:val="nil"/>
              <w:tr2bl w:val="nil"/>
            </w:tcBorders>
            <w:vAlign w:val="center"/>
          </w:tcPr>
          <w:p>
            <w:pPr>
              <w:widowControl/>
              <w:shd w:val="clear" w:color="auto" w:fill="FFFFFF"/>
              <w:jc w:val="both"/>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HX-A</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HX-B</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HX-C</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HX-D</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HX-E</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HX-F</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HX-G</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HX-H</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HX-J</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HX-K</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HX-L</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bidi="ar"/>
              </w:rPr>
              <w:t>HX-N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控温方式</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半导体</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输入功率</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250W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熔 断 器</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250V 3A Ф5×20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外形尺寸</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280*210*180</w:t>
            </w:r>
            <w:r>
              <w:rPr>
                <w:rStyle w:val="15"/>
                <w:rFonts w:hint="eastAsia" w:ascii="宋体" w:hAnsi="宋体" w:cs="宋体"/>
                <w:b w:val="0"/>
                <w:bCs w:val="0"/>
                <w:color w:val="2F5597" w:themeColor="accent1" w:themeShade="BF"/>
                <w:kern w:val="0"/>
                <w:sz w:val="24"/>
                <w:szCs w:val="24"/>
                <w:shd w:val="clear" w:color="auto" w:fill="FFFFFF"/>
                <w:lang w:bidi="ar"/>
              </w:rPr>
              <w:t>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包装尺寸</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340*265*235</w:t>
            </w:r>
            <w:r>
              <w:rPr>
                <w:rStyle w:val="15"/>
                <w:rFonts w:hint="eastAsia" w:ascii="宋体" w:hAnsi="宋体" w:cs="宋体"/>
                <w:b w:val="0"/>
                <w:bCs w:val="0"/>
                <w:color w:val="2F5597" w:themeColor="accent1" w:themeShade="BF"/>
                <w:kern w:val="0"/>
                <w:sz w:val="24"/>
                <w:szCs w:val="24"/>
                <w:shd w:val="clear" w:color="auto" w:fill="FFFFFF"/>
                <w:lang w:bidi="ar"/>
              </w:rPr>
              <w:t>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仪器净重</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3.5kg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9" w:hRule="exact"/>
        </w:trPr>
        <w:tc>
          <w:tcPr>
            <w:tcW w:w="2907"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仪器毛重</w:t>
            </w:r>
          </w:p>
        </w:tc>
        <w:tc>
          <w:tcPr>
            <w:tcW w:w="5615" w:type="dxa"/>
            <w:tcBorders>
              <w:tl2br w:val="nil"/>
              <w:tr2bl w:val="nil"/>
            </w:tcBorders>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4.5kg</w:t>
            </w:r>
          </w:p>
        </w:tc>
      </w:tr>
    </w:tbl>
    <w:p>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4、可选模块</w:t>
      </w:r>
      <w:r>
        <w:drawing>
          <wp:inline distT="0" distB="0" distL="0" distR="0">
            <wp:extent cx="5274310" cy="172021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4310" cy="1720255"/>
                    </a:xfrm>
                    <a:prstGeom prst="rect">
                      <a:avLst/>
                    </a:prstGeom>
                  </pic:spPr>
                </pic:pic>
              </a:graphicData>
            </a:graphic>
          </wp:inline>
        </w:drawing>
      </w:r>
    </w:p>
    <w:p>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133850" cy="10477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133850" cy="1047750"/>
                    </a:xfrm>
                    <a:prstGeom prst="rect">
                      <a:avLst/>
                    </a:prstGeom>
                  </pic:spPr>
                </pic:pic>
              </a:graphicData>
            </a:graphic>
          </wp:inline>
        </w:drawing>
      </w:r>
    </w:p>
    <w:tbl>
      <w:tblPr>
        <w:tblStyle w:val="11"/>
        <w:tblW w:w="8593" w:type="dxa"/>
        <w:tblInd w:w="0" w:type="dxa"/>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Layout w:type="fixed"/>
        <w:tblCellMar>
          <w:top w:w="0" w:type="dxa"/>
          <w:left w:w="0" w:type="dxa"/>
          <w:bottom w:w="0" w:type="dxa"/>
          <w:right w:w="0" w:type="dxa"/>
        </w:tblCellMar>
      </w:tblPr>
      <w:tblGrid>
        <w:gridCol w:w="2263"/>
        <w:gridCol w:w="6330"/>
      </w:tblGrid>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HX-A</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96*0.2ml标准板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HX-B</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54*0.5ml离心管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HX-C</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35*1.5ml离心管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HX-D</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35*2.0ml离心管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HX-E</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20*0.5ml+15*1.5ml离心管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HX-F</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24*直径≤￠12mm试管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HX-G</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32*0.2ml+25*1.5ml离心管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HX-H</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32*0.2ml+10*0.5ml+15*1.5ml离心管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HX-J</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96*0.2ml微孔板(酶标板平板)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HX-K</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24*5ml离心管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HX-L</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12*15ml (最高转速600rpm) 100℃</w:t>
            </w: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HX-M</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6*50ml (最高转速600rpm) 100℃</w:t>
            </w:r>
          </w:p>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tblPrEx>
          <w:tblBorders>
            <w:top w:val="single" w:color="002060" w:sz="2" w:space="0"/>
            <w:left w:val="single" w:color="002060" w:sz="2" w:space="0"/>
            <w:bottom w:val="single" w:color="002060" w:sz="2" w:space="0"/>
            <w:right w:val="single" w:color="002060" w:sz="2" w:space="0"/>
            <w:insideH w:val="single" w:color="002060" w:sz="2" w:space="0"/>
            <w:insideV w:val="single" w:color="002060" w:sz="2" w:space="0"/>
          </w:tblBorders>
          <w:tblCellMar>
            <w:top w:w="0" w:type="dxa"/>
            <w:left w:w="0" w:type="dxa"/>
            <w:bottom w:w="0" w:type="dxa"/>
            <w:right w:w="0" w:type="dxa"/>
          </w:tblCellMar>
        </w:tblPrEx>
        <w:trPr>
          <w:trHeight w:val="454" w:hRule="exact"/>
        </w:trPr>
        <w:tc>
          <w:tcPr>
            <w:tcW w:w="2263"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HX-N</w:t>
            </w:r>
          </w:p>
        </w:tc>
        <w:tc>
          <w:tcPr>
            <w:tcW w:w="6330" w:type="dxa"/>
            <w:tcBorders>
              <w:tl2br w:val="nil"/>
              <w:tr2bl w:val="nil"/>
            </w:tcBorders>
            <w:shd w:val="clear" w:color="auto" w:fill="auto"/>
            <w:tcMar>
              <w:left w:w="150" w:type="dxa"/>
              <w:right w:w="150" w:type="dxa"/>
            </w:tcMar>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15*10ml离心管100℃</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hint="eastAsia"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名称</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主机</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电源线</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合格证（含保修卡）</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说明书</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保险丝</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标配模块（2ML*</w:t>
            </w:r>
            <w:r>
              <w:rPr>
                <w:rFonts w:hint="eastAsia" w:cs="Times New Roman"/>
                <w:color w:val="2F5597" w:themeColor="accent1" w:themeShade="BF"/>
                <w:kern w:val="2"/>
                <w:sz w:val="24"/>
                <w:szCs w:val="24"/>
                <w:lang w:val="en-US" w:eastAsia="zh-CN" w:bidi="ar-SA"/>
              </w:rPr>
              <w:t>35</w:t>
            </w:r>
            <w:r>
              <w:rPr>
                <w:rFonts w:hint="eastAsia" w:ascii="宋体" w:hAnsi="宋体" w:eastAsia="宋体" w:cs="Times New Roman"/>
                <w:color w:val="2F5597" w:themeColor="accent1" w:themeShade="BF"/>
                <w:kern w:val="2"/>
                <w:sz w:val="24"/>
                <w:szCs w:val="24"/>
                <w:lang w:val="en-US" w:eastAsia="zh-CN" w:bidi="ar-SA"/>
              </w:rPr>
              <w:t>孔）</w:t>
            </w:r>
          </w:p>
        </w:tc>
        <w:tc>
          <w:tcPr>
            <w:tcW w:w="4261" w:type="dxa"/>
            <w:tcBorders>
              <w:tl2br w:val="nil"/>
              <w:tr2bl w:val="nil"/>
            </w:tcBorders>
          </w:tcPr>
          <w:p>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cs="Times New Roman"/>
                <w:color w:val="2F5597" w:themeColor="accent1" w:themeShade="BF"/>
                <w:kern w:val="2"/>
                <w:sz w:val="24"/>
                <w:szCs w:val="24"/>
                <w:lang w:val="en-US" w:eastAsia="zh-CN" w:bidi="ar-SA"/>
              </w:rPr>
              <w:t>1块（</w:t>
            </w:r>
            <w:r>
              <w:rPr>
                <w:rFonts w:hint="eastAsia" w:ascii="宋体" w:hAnsi="宋体" w:eastAsia="宋体" w:cs="Times New Roman"/>
                <w:color w:val="2F5597" w:themeColor="accent1" w:themeShade="BF"/>
                <w:kern w:val="2"/>
                <w:sz w:val="24"/>
                <w:szCs w:val="24"/>
                <w:lang w:val="en-US" w:eastAsia="zh-CN" w:bidi="ar-SA"/>
              </w:rPr>
              <w:t>已安装仪器内</w:t>
            </w:r>
            <w:r>
              <w:rPr>
                <w:rFonts w:hint="eastAsia" w:cs="Times New Roman"/>
                <w:color w:val="2F5597" w:themeColor="accent1" w:themeShade="BF"/>
                <w:kern w:val="2"/>
                <w:sz w:val="24"/>
                <w:szCs w:val="24"/>
                <w:lang w:val="en-US" w:eastAsia="zh-CN" w:bidi="ar-SA"/>
              </w:rPr>
              <w:t>）</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1C7440"/>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2EF1"/>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635FDA"/>
    <w:rsid w:val="017212D3"/>
    <w:rsid w:val="02AA71DB"/>
    <w:rsid w:val="02D933F4"/>
    <w:rsid w:val="02F87F3E"/>
    <w:rsid w:val="03F258F4"/>
    <w:rsid w:val="04E918A9"/>
    <w:rsid w:val="0692734F"/>
    <w:rsid w:val="07553E41"/>
    <w:rsid w:val="091F1204"/>
    <w:rsid w:val="0A184A29"/>
    <w:rsid w:val="0A366F57"/>
    <w:rsid w:val="0A965B96"/>
    <w:rsid w:val="10C02CE0"/>
    <w:rsid w:val="10E60B82"/>
    <w:rsid w:val="11385EB2"/>
    <w:rsid w:val="117D1E52"/>
    <w:rsid w:val="12F323D9"/>
    <w:rsid w:val="13377D20"/>
    <w:rsid w:val="162626F1"/>
    <w:rsid w:val="163338FF"/>
    <w:rsid w:val="167836D1"/>
    <w:rsid w:val="16855545"/>
    <w:rsid w:val="16A71820"/>
    <w:rsid w:val="17DC0469"/>
    <w:rsid w:val="18711AC3"/>
    <w:rsid w:val="1886336C"/>
    <w:rsid w:val="19471AEB"/>
    <w:rsid w:val="1976192B"/>
    <w:rsid w:val="1A4C7833"/>
    <w:rsid w:val="1AB80B3F"/>
    <w:rsid w:val="1B68721A"/>
    <w:rsid w:val="1B871C86"/>
    <w:rsid w:val="1C4A28F1"/>
    <w:rsid w:val="1C8D4EFF"/>
    <w:rsid w:val="1E486378"/>
    <w:rsid w:val="1F4E56FF"/>
    <w:rsid w:val="1F995798"/>
    <w:rsid w:val="20866F0A"/>
    <w:rsid w:val="2159429D"/>
    <w:rsid w:val="216A23E2"/>
    <w:rsid w:val="22E601DB"/>
    <w:rsid w:val="23243285"/>
    <w:rsid w:val="23E71AFD"/>
    <w:rsid w:val="241D3C4F"/>
    <w:rsid w:val="246A0583"/>
    <w:rsid w:val="24AE6CFC"/>
    <w:rsid w:val="295A600F"/>
    <w:rsid w:val="2A602115"/>
    <w:rsid w:val="2A847618"/>
    <w:rsid w:val="2AC31D90"/>
    <w:rsid w:val="2BE36FED"/>
    <w:rsid w:val="2C2B4AD0"/>
    <w:rsid w:val="2C7D7234"/>
    <w:rsid w:val="2C936415"/>
    <w:rsid w:val="2CBC35B2"/>
    <w:rsid w:val="2D270418"/>
    <w:rsid w:val="2D9E504D"/>
    <w:rsid w:val="2DBB4423"/>
    <w:rsid w:val="2E5E5B1C"/>
    <w:rsid w:val="2F780BF9"/>
    <w:rsid w:val="30667F5E"/>
    <w:rsid w:val="32494755"/>
    <w:rsid w:val="33DC53B7"/>
    <w:rsid w:val="34121BAC"/>
    <w:rsid w:val="348346E6"/>
    <w:rsid w:val="348E7F12"/>
    <w:rsid w:val="35B92EB0"/>
    <w:rsid w:val="36585CBC"/>
    <w:rsid w:val="36E10A24"/>
    <w:rsid w:val="38C94A1D"/>
    <w:rsid w:val="38CC2145"/>
    <w:rsid w:val="3A045A6B"/>
    <w:rsid w:val="3A542ACC"/>
    <w:rsid w:val="3ABF1760"/>
    <w:rsid w:val="3C5E63A4"/>
    <w:rsid w:val="3DA6127B"/>
    <w:rsid w:val="3DEB6E30"/>
    <w:rsid w:val="3E2B5E06"/>
    <w:rsid w:val="40764144"/>
    <w:rsid w:val="410B44C7"/>
    <w:rsid w:val="43EA5F2F"/>
    <w:rsid w:val="442711AA"/>
    <w:rsid w:val="445E2512"/>
    <w:rsid w:val="452B4A5F"/>
    <w:rsid w:val="454D0475"/>
    <w:rsid w:val="4698297B"/>
    <w:rsid w:val="46AC10B2"/>
    <w:rsid w:val="476C61D1"/>
    <w:rsid w:val="498B526A"/>
    <w:rsid w:val="4A527F2C"/>
    <w:rsid w:val="4AA4627F"/>
    <w:rsid w:val="4ADC76DB"/>
    <w:rsid w:val="4CA81950"/>
    <w:rsid w:val="4D4E77F2"/>
    <w:rsid w:val="4DF74D1B"/>
    <w:rsid w:val="4E931B10"/>
    <w:rsid w:val="4FD73045"/>
    <w:rsid w:val="51C771E3"/>
    <w:rsid w:val="51F9487C"/>
    <w:rsid w:val="52EE746C"/>
    <w:rsid w:val="5452446D"/>
    <w:rsid w:val="563C7D3B"/>
    <w:rsid w:val="567A0461"/>
    <w:rsid w:val="567A4548"/>
    <w:rsid w:val="56E0707C"/>
    <w:rsid w:val="576F688D"/>
    <w:rsid w:val="5826783E"/>
    <w:rsid w:val="58926505"/>
    <w:rsid w:val="58C6092D"/>
    <w:rsid w:val="58F34817"/>
    <w:rsid w:val="591C6583"/>
    <w:rsid w:val="594D1214"/>
    <w:rsid w:val="59AB3574"/>
    <w:rsid w:val="5BDA755D"/>
    <w:rsid w:val="5DDC6E97"/>
    <w:rsid w:val="607225C9"/>
    <w:rsid w:val="608B6872"/>
    <w:rsid w:val="61FA2450"/>
    <w:rsid w:val="624F31B6"/>
    <w:rsid w:val="626F460D"/>
    <w:rsid w:val="62737F03"/>
    <w:rsid w:val="62BD7680"/>
    <w:rsid w:val="63B80222"/>
    <w:rsid w:val="64BB3B0A"/>
    <w:rsid w:val="65173864"/>
    <w:rsid w:val="67074C35"/>
    <w:rsid w:val="67B86FD5"/>
    <w:rsid w:val="68CC736B"/>
    <w:rsid w:val="69A05A18"/>
    <w:rsid w:val="6AB4227F"/>
    <w:rsid w:val="6B3B6611"/>
    <w:rsid w:val="6B5251F4"/>
    <w:rsid w:val="6B6C7258"/>
    <w:rsid w:val="6BA7011A"/>
    <w:rsid w:val="6D663677"/>
    <w:rsid w:val="6DFB560B"/>
    <w:rsid w:val="6F17421F"/>
    <w:rsid w:val="6F224C57"/>
    <w:rsid w:val="6F7B3153"/>
    <w:rsid w:val="6F975B11"/>
    <w:rsid w:val="6FA3250B"/>
    <w:rsid w:val="71E561F0"/>
    <w:rsid w:val="73587C07"/>
    <w:rsid w:val="737F1A45"/>
    <w:rsid w:val="73974732"/>
    <w:rsid w:val="74A64C8E"/>
    <w:rsid w:val="74D87F63"/>
    <w:rsid w:val="758F4437"/>
    <w:rsid w:val="75EA64FF"/>
    <w:rsid w:val="767416B7"/>
    <w:rsid w:val="76E353C5"/>
    <w:rsid w:val="77C15694"/>
    <w:rsid w:val="78323E75"/>
    <w:rsid w:val="78F84331"/>
    <w:rsid w:val="79FB6B36"/>
    <w:rsid w:val="7A61311F"/>
    <w:rsid w:val="7A664B08"/>
    <w:rsid w:val="7AA2317C"/>
    <w:rsid w:val="7B965710"/>
    <w:rsid w:val="7BF14DB6"/>
    <w:rsid w:val="7C6C04DF"/>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478FE-38B8-41B3-BC9A-22D8F0E64624}">
  <ds:schemaRefs/>
</ds:datastoreItem>
</file>

<file path=docProps/app.xml><?xml version="1.0" encoding="utf-8"?>
<Properties xmlns="http://schemas.openxmlformats.org/officeDocument/2006/extended-properties" xmlns:vt="http://schemas.openxmlformats.org/officeDocument/2006/docPropsVTypes">
  <Template>Normal</Template>
  <Pages>4</Pages>
  <Words>734</Words>
  <Characters>1081</Characters>
  <Lines>7</Lines>
  <Paragraphs>2</Paragraphs>
  <TotalTime>2</TotalTime>
  <ScaleCrop>false</ScaleCrop>
  <LinksUpToDate>false</LinksUpToDate>
  <CharactersWithSpaces>1116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2024-02-27T08:11:16Z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07F28F29A55948688A0B0B123FB37EE8_12</vt:lpwstr>
  </property>
</Properties>
</file>